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Anexo C Matriz de aprobación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Código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PR-ADM-014-ANEXO-C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Versión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v1</w:t>
            </w:r>
          </w:p>
        </w:tc>
      </w:tr>
      <w:tr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Fecha de vigencia</w:t>
            </w:r>
          </w:p>
        </w:tc>
        <w:tc>
          <w:tcPr>
            <w:tcW w:type="dxa" w:w="499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2025-08-01</w:t>
            </w:r>
          </w:p>
        </w:tc>
      </w:tr>
    </w:tbl>
    <w:p>
      <w:pPr>
        <w:spacing w:after="0"/>
      </w:pPr>
    </w:p>
    <w:p>
      <w:pPr>
        <w:spacing w:after="160"/>
        <w:ind w:left="317"/>
      </w:pPr>
      <w:r>
        <w:rPr>
          <w:i/>
          <w:color w:val="475569"/>
        </w:rPr>
        <w:t>Material de práctica del taller.</w:t>
      </w:r>
    </w:p>
    <w:p>
      <w:pPr>
        <w:pStyle w:val="Heading1"/>
        <w:keepNext/>
      </w:pPr>
      <w:r>
        <w:t>Matriz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Monto de la cotización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Aprueba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Plazo de respuesta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Hasta 3.000 USD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requiere aprobación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—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3.001 a 10.000 USD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Jefatura de Administración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Mismo día hábil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10.001 a 25.000 USD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Gerencia de Administración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días hábiles</w:t>
            </w:r>
          </w:p>
        </w:tc>
      </w:tr>
      <w:tr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Más de 25.000 USD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Gerencia Comercial y Finanzas</w:t>
            </w:r>
          </w:p>
        </w:tc>
        <w:tc>
          <w:tcPr>
            <w:tcW w:type="dxa" w:w="33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días hábiles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Regla de ausencia</w:t>
      </w:r>
    </w:p>
    <w:p>
      <w:r>
        <w:t>Si quien aprueba no está disponible en el plazo indicado, la aprobación escala al nivel siguiente. La cotización nunca se envía sin aprobación registrada.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