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Anexo B Tabla de descuentos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PR-ADM-011-ANEXO-B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v3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vigencia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2026-01-15</w:t>
            </w:r>
          </w:p>
        </w:tc>
      </w:tr>
    </w:tbl>
    <w:p>
      <w:pPr>
        <w:spacing w:after="0"/>
      </w:pPr>
    </w:p>
    <w:p>
      <w:pPr>
        <w:spacing w:after="160"/>
        <w:ind w:left="317"/>
      </w:pPr>
      <w:r>
        <w:rPr>
          <w:i/>
          <w:color w:val="475569"/>
        </w:rPr>
        <w:t>Material de práctica del taller.</w:t>
      </w:r>
    </w:p>
    <w:p>
      <w:pPr>
        <w:pStyle w:val="Heading1"/>
        <w:keepNext/>
      </w:pPr>
      <w:r>
        <w:t>Rangos autorizados por volumen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Volumen (unidades)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Descuento máximo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Autoriza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a 9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0 %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Asistente comercial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10 a 24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5 %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Asistente comercial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25 a 49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8 %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Jefatura de Administración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50 a 99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12 %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Jefatura de Administración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100 o más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 negociar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Comercial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Reglas</w:t>
      </w:r>
    </w:p>
    <w:p>
      <w:pPr>
        <w:pStyle w:val="ListBullet"/>
        <w:spacing w:after="60"/>
      </w:pPr>
      <w:r>
        <w:t>El descuento por volumen no se acumula con promociones vigentes.</w:t>
      </w:r>
    </w:p>
    <w:p>
      <w:pPr>
        <w:pStyle w:val="ListBullet"/>
        <w:spacing w:after="60"/>
      </w:pPr>
      <w:r>
        <w:t>Los clientes de flota con contrato anual tienen su propia tabla, definida en el contrato.</w:t>
      </w:r>
    </w:p>
    <w:p>
      <w:pPr>
        <w:pStyle w:val="ListBullet"/>
        <w:spacing w:after="60"/>
      </w:pPr>
      <w:r>
        <w:t>Todo descuento fuera de rango se documenta con el correo de autorización adjunto a la cotización.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