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</w:pBdr>
        <w:spacing w:after="80"/>
      </w:pPr>
      <w:r>
        <w:t>Qué puedo subir a una IA y qué no</w:t>
      </w:r>
    </w:p>
    <w:p>
      <w:pPr>
        <w:spacing w:after="280"/>
      </w:pPr>
      <w:r>
        <w:rPr>
          <w:color w:val="464646"/>
        </w:rPr>
        <w:t>BORRADOR para discutir con TI y Legal de Casa de las Baterías. No es la política de la empresa y no sustituye el criterio legal. Se usa en la sesión 1, laboratorio 8, como ejercicio de decisión.</w:t>
      </w:r>
    </w:p>
    <w:p>
      <w:r>
        <w:rPr>
          <w:b/>
        </w:rPr>
        <w:t>Este documento propone un criterio; no lo establece. La Ley 81 de 2019 regula el tratamiento de datos personales en Panamá, y Costa Rica, El Salvador y Guatemala tienen sus propias obligaciones. La matriz definitiva la confirman TI y Legal, por país.</w:t>
      </w:r>
    </w:p>
    <w:p>
      <w:pPr>
        <w:pStyle w:val="Heading1"/>
      </w:pPr>
      <w:r>
        <w:t>Las cinco preguntas, antes de subir nada</w:t>
      </w:r>
    </w:p>
    <w:p>
      <w:pPr>
        <w:pStyle w:val="ListBullet"/>
      </w:pPr>
      <w:r>
        <w:t>¿Qué necesita de verdad la tarea? Casi siempre es menos de lo que trae el documento.</w:t>
      </w:r>
    </w:p>
    <w:p>
      <w:pPr>
        <w:pStyle w:val="ListBullet"/>
      </w:pPr>
      <w:r>
        <w:t>¿Qué se puede quitar sin que el trabajo deje de funcionar?</w:t>
      </w:r>
    </w:p>
    <w:p>
      <w:pPr>
        <w:pStyle w:val="ListBullet"/>
      </w:pPr>
      <w:r>
        <w:t>¿En qué cuenta y en qué herramienta puede procesarse? No es lo mismo una cuenta personal que una de la empresa con acuerdo de tratamiento.</w:t>
      </w:r>
    </w:p>
    <w:p>
      <w:pPr>
        <w:pStyle w:val="ListBullet"/>
      </w:pPr>
      <w:r>
        <w:t>¿Quién autoriza? Si no hay nadie que pueda decir que sí, la respuesta es que no.</w:t>
      </w:r>
    </w:p>
    <w:p>
      <w:pPr>
        <w:pStyle w:val="ListBullet"/>
      </w:pPr>
      <w:r>
        <w:t>¿Queda registro de qué se subió y para qué?</w:t>
      </w:r>
    </w:p>
    <w:p>
      <w:pPr>
        <w:pStyle w:val="Heading1"/>
      </w:pPr>
      <w:r>
        <w:t>Cuatro casos que aparecen cada semana</w:t>
      </w:r>
    </w:p>
    <w:p>
      <w:pPr>
        <w:pStyle w:val="Heading2"/>
      </w:pPr>
      <w:r>
        <w:t>Captura de una conversación de WhatsApp con un cliente</w:t>
      </w:r>
    </w:p>
    <w:p>
      <w:r>
        <w:rPr>
          <w:b/>
        </w:rPr>
        <w:t xml:space="preserve">Qué necesita la tarea: </w:t>
      </w:r>
      <w:r>
        <w:t>El reclamo: qué producto, cuándo lo compró y qué pide.</w:t>
      </w:r>
    </w:p>
    <w:p>
      <w:r>
        <w:rPr>
          <w:b/>
        </w:rPr>
        <w:t xml:space="preserve">Qué sobra: </w:t>
      </w:r>
      <w:r>
        <w:t>El número de teléfono, la foto de perfil, el nombre completo y el resto de la conversación que no viene al caso.</w:t>
      </w:r>
    </w:p>
    <w:p>
      <w:r>
        <w:rPr>
          <w:b/>
        </w:rPr>
        <w:t xml:space="preserve">Qué hacer antes de subirlo: </w:t>
      </w:r>
      <w:r>
        <w:t>Recortar la captura o tapar el número y el nombre. Basta con «cliente de Vía España».</w:t>
      </w:r>
    </w:p>
    <w:p>
      <w:r>
        <w:rPr>
          <w:b/>
        </w:rPr>
        <w:t xml:space="preserve">Quién lo decide: </w:t>
      </w:r>
      <w:r>
        <w:t>La jefatura del área decide; TI confirma en qué cuenta puede subirse.</w:t>
      </w:r>
    </w:p>
    <w:p>
      <w:pPr>
        <w:pStyle w:val="Heading2"/>
      </w:pPr>
      <w:r>
        <w:t>Foto o copia de una factura de venta</w:t>
      </w:r>
    </w:p>
    <w:p>
      <w:r>
        <w:rPr>
          <w:b/>
        </w:rPr>
        <w:t xml:space="preserve">Qué necesita la tarea: </w:t>
      </w:r>
      <w:r>
        <w:t>Fecha, sucursal, producto, código y montos.</w:t>
      </w:r>
    </w:p>
    <w:p>
      <w:r>
        <w:rPr>
          <w:b/>
        </w:rPr>
        <w:t xml:space="preserve">Qué sobra: </w:t>
      </w:r>
      <w:r>
        <w:t>Nombre del cliente, cédula o RUC, dirección y teléfono.</w:t>
      </w:r>
    </w:p>
    <w:p>
      <w:r>
        <w:rPr>
          <w:b/>
        </w:rPr>
        <w:t xml:space="preserve">Qué hacer antes de subirlo: </w:t>
      </w:r>
      <w:r>
        <w:t>Tapar los datos del comprador. Para resolver una garantía casi nunca hacen falta.</w:t>
      </w:r>
    </w:p>
    <w:p>
      <w:r>
        <w:rPr>
          <w:b/>
        </w:rPr>
        <w:t xml:space="preserve">Quién lo decide: </w:t>
      </w:r>
      <w:r>
        <w:t>Jefatura del área, con el criterio que confirme Legal.</w:t>
      </w:r>
    </w:p>
    <w:p>
      <w:pPr>
        <w:pStyle w:val="Heading2"/>
      </w:pPr>
      <w:r>
        <w:t>Cartera de clientes o listado de cobranza</w:t>
      </w:r>
    </w:p>
    <w:p>
      <w:r>
        <w:rPr>
          <w:b/>
        </w:rPr>
        <w:t xml:space="preserve">Qué necesita la tarea: </w:t>
      </w:r>
      <w:r>
        <w:t>Importes, antigüedad y estado, para priorizar.</w:t>
      </w:r>
    </w:p>
    <w:p>
      <w:r>
        <w:rPr>
          <w:b/>
        </w:rPr>
        <w:t xml:space="preserve">Qué sobra: </w:t>
      </w:r>
      <w:r>
        <w:t>Nombres, identificaciones y contactos. Es el caso de mayor riesgo de los cuatro.</w:t>
      </w:r>
    </w:p>
    <w:p>
      <w:r>
        <w:rPr>
          <w:b/>
        </w:rPr>
        <w:t xml:space="preserve">Qué hacer antes de subirlo: </w:t>
      </w:r>
      <w:r>
        <w:t>Sustituir el nombre por un código antes de subir nada, y conservar la equivalencia fuera de la herramienta.</w:t>
      </w:r>
    </w:p>
    <w:p>
      <w:r>
        <w:rPr>
          <w:b/>
        </w:rPr>
        <w:t xml:space="preserve">Quién lo decide: </w:t>
      </w:r>
      <w:r>
        <w:t>No se sube sin visto bueno de TI y Legal. Aquí la decisión no es del área.</w:t>
      </w:r>
    </w:p>
    <w:p>
      <w:pPr>
        <w:pStyle w:val="Heading2"/>
      </w:pPr>
      <w:r>
        <w:t>Fotografía del interior de una sucursal</w:t>
      </w:r>
    </w:p>
    <w:p>
      <w:r>
        <w:rPr>
          <w:b/>
        </w:rPr>
        <w:t xml:space="preserve">Qué necesita la tarea: </w:t>
      </w:r>
      <w:r>
        <w:t>Lo que se quiere revisar: la exhibición, el orden, la señalización.</w:t>
      </w:r>
    </w:p>
    <w:p>
      <w:r>
        <w:rPr>
          <w:b/>
        </w:rPr>
        <w:t xml:space="preserve">Qué sobra: </w:t>
      </w:r>
      <w:r>
        <w:t>Caras de clientes o de personal, pantallas encendidas con datos, documentos sobre el mostrador.</w:t>
      </w:r>
    </w:p>
    <w:p>
      <w:r>
        <w:rPr>
          <w:b/>
        </w:rPr>
        <w:t xml:space="preserve">Qué hacer antes de subirlo: </w:t>
      </w:r>
      <w:r>
        <w:t>Repetir la foto sin personas ni pantallas. Es más rápido que recortarla después.</w:t>
      </w:r>
    </w:p>
    <w:p>
      <w:r>
        <w:rPr>
          <w:b/>
        </w:rPr>
        <w:t xml:space="preserve">Quién lo decide: </w:t>
      </w:r>
      <w:r>
        <w:t>Quien toma la foto, con la regla escrita a la vista.</w:t>
      </w:r>
    </w:p>
    <w:p>
      <w:pPr>
        <w:pStyle w:val="Heading1"/>
      </w:pPr>
      <w:r>
        <w:t>Lo que este documento no resuelve</w:t>
      </w:r>
    </w:p>
    <w:p>
      <w:pPr>
        <w:pStyle w:val="ListBullet"/>
      </w:pPr>
      <w:r>
        <w:t>Qué herramientas están aprobadas en CasaBat y con qué cuenta se entra a cada una.</w:t>
      </w:r>
    </w:p>
    <w:p>
      <w:pPr>
        <w:pStyle w:val="ListBullet"/>
      </w:pPr>
      <w:r>
        <w:t>Cuánto tiempo guarda cada proveedor lo que se sube, y si lo usa para entrenar.</w:t>
      </w:r>
    </w:p>
    <w:p>
      <w:pPr>
        <w:pStyle w:val="ListBullet"/>
      </w:pPr>
      <w:r>
        <w:t>Las diferencias entre Panamá, Costa Rica, El Salvador y Guatemala.</w:t>
      </w:r>
    </w:p>
    <w:p>
      <w:pPr>
        <w:pStyle w:val="ListBullet"/>
      </w:pPr>
      <w:r>
        <w:t>Qué pasa con lo que ya se subió antes de tener una regla escrita.</w:t>
      </w:r>
    </w:p>
    <w:p>
      <w:r>
        <w:rPr>
          <w:b/>
        </w:rPr>
        <w:t xml:space="preserve">Referencia: </w:t>
      </w:r>
      <w:r>
        <w:rPr>
          <w:color w:val="1C5C92"/>
          <w:sz w:val="18"/>
        </w:rPr>
        <w:t>Ley 81 de 2019 sobre protección de datos personales · antai.gob.pa</w:t>
      </w:r>
    </w:p>
    <w:sectPr w:rsidR="00FC693F" w:rsidRPr="0006063C" w:rsidSect="00034616"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Qué puedo subir a una IA y qué no</dc:title>
  <dc:subject>Material ficticio para capacitación en IA aplicada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