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PR ADM 014 Gestión de Cotizaciones BORRADOR v3</w:t>
      </w:r>
    </w:p>
    <w:p>
      <w:pPr>
        <w:spacing w:after="160"/>
        <w:ind w:left="317"/>
      </w:pPr>
      <w:r>
        <w:rPr>
          <w:b/>
          <w:i/>
          <w:color w:val="475569"/>
        </w:rPr>
        <w:t>Material de práctica del taller.</w:t>
      </w:r>
      <w:r>
        <w:rPr>
          <w:i/>
          <w:color w:val="475569"/>
        </w:rPr>
        <w:t xml:space="preserve"> Borrador ficticio. Se usa en el laboratorio 6 de la Sesión 2: compararlo contra la versión vigente (</w:t>
      </w:r>
      <w:r>
        <w:rPr>
          <w:rFonts w:ascii="Consolas" w:hAnsi="Consolas"/>
          <w:i/>
          <w:color w:val="475569"/>
          <w:sz w:val="18"/>
        </w:rPr>
        <w:t>expediente-PR-ADM-014/PR-ADM-014_Gestion_de_Cotizaciones_v2.docx</w:t>
      </w:r>
      <w:r>
        <w:rPr>
          <w:i/>
          <w:color w:val="475569"/>
        </w:rPr>
        <w:t xml:space="preserve">) y producir la tabla de control de cambios.  Contiene cambios de distinta naturaleza a propósito: redacción, alcance, responsable y </w:t>
      </w:r>
      <w:r>
        <w:rPr>
          <w:b/>
          <w:i/>
          <w:color w:val="475569"/>
        </w:rPr>
        <w:t>al menos uno que elimina un control</w:t>
      </w:r>
      <w:r>
        <w:rPr>
          <w:i/>
          <w:color w:val="475569"/>
        </w:rPr>
        <w:t>. Detectarlos y clasificarlos es el ejercicio.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PR-ADM-014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v3 (borrador)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vigencia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Pendiente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Dueño del proceso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Jefatura de Administración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Aplica 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Panamá, Costa Rica, El Salvador, Guatemala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 Objetivo</w:t>
      </w:r>
    </w:p>
    <w:p>
      <w:r>
        <w:t>Establecer el flujo para elaborar, aprobar y dar seguimiento a las cotizaciones emitidas a clientes de flota, empresas e instituciones, asegurando que los precios y las condiciones correspondan a la lista vigente de cada país.</w:t>
      </w:r>
    </w:p>
    <w:p>
      <w:pPr>
        <w:pStyle w:val="Heading1"/>
        <w:keepNext/>
      </w:pPr>
      <w:r>
        <w:t>2 Alcance</w:t>
      </w:r>
    </w:p>
    <w:p>
      <w:r>
        <w:t>Aplica a toda cotización emitida desde sucursal, call center o el área comercial. No aplica a ventas de mostrador con pago inmediato ni a cotizaciones de servicio a domicilio, que se rigen por su propio procedimiento.</w:t>
      </w:r>
    </w:p>
    <w:p>
      <w:pPr>
        <w:pStyle w:val="Heading1"/>
        <w:keepNext/>
      </w:pPr>
      <w:r>
        <w:t>3 Definiciones</w:t>
      </w:r>
    </w:p>
    <w:p>
      <w:pPr>
        <w:pStyle w:val="ListBullet"/>
        <w:spacing w:after="60"/>
      </w:pPr>
      <w:r>
        <w:rPr>
          <w:b/>
        </w:rPr>
        <w:t>Cotización calificada:</w:t>
      </w:r>
      <w:r>
        <w:t xml:space="preserve"> la que corresponde a un cliente identificado, con necesidad confirmada</w:t>
      </w:r>
    </w:p>
    <w:p>
      <w:r>
        <w:t>y plazo de decisión estimado.</w:t>
      </w:r>
    </w:p>
    <w:p>
      <w:pPr>
        <w:pStyle w:val="ListBullet"/>
        <w:spacing w:after="60"/>
      </w:pPr>
      <w:r>
        <w:rPr>
          <w:b/>
        </w:rPr>
        <w:t>Umbral de aprobación:</w:t>
      </w:r>
      <w:r>
        <w:t xml:space="preserve"> monto a partir del cual la cotización requiere visto bueno.</w:t>
      </w:r>
    </w:p>
    <w:p>
      <w:pPr>
        <w:pStyle w:val="Heading1"/>
        <w:keepNext/>
      </w:pPr>
      <w:r>
        <w:t>4 Desarrollo</w:t>
      </w:r>
    </w:p>
    <w:p>
      <w:r>
        <w:t>4.1. El asistente comercial recibe la solicitud y verifica que el cliente esté registrado.</w:t>
      </w:r>
    </w:p>
    <w:p>
      <w:r>
        <w:t xml:space="preserve">4.2. Elabora la cotización en el formato establecido, según el </w:t>
      </w:r>
      <w:r>
        <w:rPr>
          <w:b/>
        </w:rPr>
        <w:t>Anexo A</w:t>
      </w:r>
      <w:r>
        <w:t>.</w:t>
      </w:r>
    </w:p>
    <w:p>
      <w:r>
        <w:t xml:space="preserve">4.3. Aplica descuentos únicamente dentro de los rangos autorizados en el </w:t>
      </w:r>
      <w:r>
        <w:rPr>
          <w:b/>
        </w:rPr>
        <w:t>Anexo B</w:t>
      </w:r>
      <w:r>
        <w:t>. Cualquier descuento fuera de rango requiere autorización previa.</w:t>
      </w:r>
    </w:p>
    <w:p>
      <w:r>
        <w:t xml:space="preserve">4.4. Si el monto total supera los </w:t>
      </w:r>
      <w:r>
        <w:rPr>
          <w:b/>
        </w:rPr>
        <w:t>5.000 dólares</w:t>
      </w:r>
      <w:r>
        <w:t xml:space="preserve">, la cotización pasa a estado "por aprobar" y requiere el visto bueno de la </w:t>
      </w:r>
      <w:r>
        <w:rPr>
          <w:b/>
        </w:rPr>
        <w:t>Coordinación Comercial</w:t>
      </w:r>
      <w:r>
        <w:t xml:space="preserve"> según la matriz del </w:t>
      </w:r>
      <w:r>
        <w:rPr>
          <w:b/>
        </w:rPr>
        <w:t>ANEXO-C</w:t>
      </w:r>
      <w:r>
        <w:t>.</w:t>
      </w:r>
    </w:p>
    <w:p>
      <w:r>
        <w:t xml:space="preserve">4.5. Las condiciones de crédito se otorgan conforme al </w:t>
      </w:r>
      <w:r>
        <w:rPr>
          <w:b/>
        </w:rPr>
        <w:t>Anexo D</w:t>
      </w:r>
      <w:r>
        <w:t>. El plazo estándar es de 30 días; plazos mayores requieren aprobación de Finanzas.</w:t>
      </w:r>
    </w:p>
    <w:p>
      <w:r>
        <w:t xml:space="preserve">4.6. La cotización aprobada se envía al cliente desde el </w:t>
      </w:r>
      <w:r>
        <w:rPr>
          <w:b/>
        </w:rPr>
        <w:t>nuevo CRM regional</w:t>
      </w:r>
      <w:r>
        <w:t>, que registra el envío automáticamente en el expediente digital del cliente.</w:t>
      </w:r>
    </w:p>
    <w:p>
      <w:r>
        <w:t>4.7. El seguimiento se registra en el CRM dentro de las 48 horas siguientes al envío.</w:t>
      </w:r>
    </w:p>
    <w:p>
      <w:r>
        <w:t xml:space="preserve">4.8. Las cotizaciones no respondidas en </w:t>
      </w:r>
      <w:r>
        <w:rPr>
          <w:b/>
        </w:rPr>
        <w:t>20 días calendario</w:t>
      </w:r>
      <w:r>
        <w:t xml:space="preserve"> se marcan como vencidas. El criterio de reactivación se detalla en el </w:t>
      </w:r>
      <w:r>
        <w:rPr>
          <w:b/>
        </w:rPr>
        <w:t>Anexo E</w:t>
      </w:r>
      <w:r>
        <w:t>.</w:t>
      </w:r>
    </w:p>
    <w:p>
      <w:pPr>
        <w:pStyle w:val="Heading1"/>
        <w:keepNext/>
      </w:pPr>
      <w:r>
        <w:t>5 Registros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Registro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Retención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Cotización emitida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Asistente comercial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años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Bitácora de aprobaciones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Coordinación Comercial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años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Expediente digital del cliente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Administración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Permanente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6 Documentos relacionados</w:t>
      </w:r>
    </w:p>
    <w:p>
      <w:pPr>
        <w:pStyle w:val="ListBullet"/>
        <w:spacing w:after="60"/>
      </w:pPr>
      <w:r>
        <w:t>Anexo A — Formato de cotización</w:t>
      </w:r>
    </w:p>
    <w:p>
      <w:pPr>
        <w:pStyle w:val="ListBullet"/>
        <w:spacing w:after="60"/>
      </w:pPr>
      <w:r>
        <w:t>Anexo B — Tabla de descuentos</w:t>
      </w:r>
    </w:p>
    <w:p>
      <w:pPr>
        <w:pStyle w:val="ListBullet"/>
        <w:spacing w:after="60"/>
      </w:pPr>
      <w:r>
        <w:t>ANEXO-C — Matriz de aprobación</w:t>
      </w:r>
    </w:p>
    <w:p>
      <w:pPr>
        <w:pStyle w:val="ListBullet"/>
        <w:spacing w:after="60"/>
      </w:pPr>
      <w:r>
        <w:t>Anexo D — Condiciones de crédito</w:t>
      </w:r>
    </w:p>
    <w:p>
      <w:pPr>
        <w:pStyle w:val="ListBullet"/>
        <w:spacing w:after="60"/>
      </w:pPr>
      <w:r>
        <w:t>Anexo E — Criterio de reactivación de cotizaciones vencidas</w:t>
      </w:r>
    </w:p>
    <w:p>
      <w:pPr>
        <w:pStyle w:val="Heading1"/>
        <w:keepNext/>
      </w:pPr>
      <w:r>
        <w:t>7 Control de cambios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Versión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Cambio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Aprobó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v1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2025-08-01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Emisión inicial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de Administración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v2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2026-02-10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 agrega el umbral de aprobación y la doble verificación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de Administración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v3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Pendiente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i/>
                <w:sz w:val="18"/>
              </w:rPr>
              <w:t>(por redactar — es parte del ejercicio)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Pendiente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