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Regla de nomenclatura documental Casa de las Baterías</w:t>
      </w:r>
    </w:p>
    <w:p>
      <w:pPr>
        <w:spacing w:after="160"/>
        <w:ind w:left="317"/>
      </w:pPr>
      <w:r>
        <w:rPr>
          <w:b/>
          <w:i/>
          <w:color w:val="475569"/>
        </w:rPr>
        <w:t>Material de práctica del taller.</w:t>
      </w:r>
      <w:r>
        <w:rPr>
          <w:i/>
          <w:color w:val="475569"/>
        </w:rPr>
        <w:t xml:space="preserve"> Regla ilustrativa con la forma típica de una norma de control documental. </w:t>
      </w:r>
      <w:r>
        <w:rPr>
          <w:b/>
          <w:i/>
          <w:color w:val="475569"/>
        </w:rPr>
        <w:t>No es la norma oficial de Casa de las Baterías</w:t>
      </w:r>
      <w:r>
        <w:rPr>
          <w:i/>
          <w:color w:val="475569"/>
        </w:rPr>
        <w:t xml:space="preserve">: se usa en la </w:t>
      </w:r>
      <w:r>
        <w:rPr>
          <w:b/>
          <w:i/>
          <w:color w:val="475569"/>
        </w:rPr>
        <w:t>Sesión 2, laboratorios 7 y 8</w:t>
      </w:r>
      <w:r>
        <w:rPr>
          <w:i/>
          <w:color w:val="475569"/>
        </w:rPr>
        <w:t xml:space="preserve"> para practicar la auditoría automatizada. Si tu área tiene su regla real, sustitúyela: el ejercicio funciona igual.</w:t>
      </w:r>
    </w:p>
    <w:p>
      <w:pPr>
        <w:pStyle w:val="Heading1"/>
        <w:keepNext/>
      </w:pPr>
      <w:r>
        <w:t>Estructura del nombre de archivo</w:t>
      </w:r>
    </w:p>
    <w:p>
      <w:r>
        <w:rPr>
          <w:b/>
        </w:rPr>
        <w:t>Procedimientos: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PR-&lt;AREA&gt;-&lt;###&gt;_&lt;Titulo_En_Palabras_Capitalizadas&gt;_v&lt;N&gt;.&lt;ext&gt;</w:t>
      </w:r>
    </w:p>
    <w:p>
      <w:r>
        <w:rPr>
          <w:b/>
        </w:rPr>
        <w:t>Anexos: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PR-&lt;AREA&gt;-&lt;###&gt;-ANEXO-&lt;LETRA&gt;_&lt;titulo_en_minusculas&gt;_v&lt;N&gt;.&lt;ext&gt;</w:t>
      </w:r>
    </w:p>
    <w:p>
      <w:pPr>
        <w:pStyle w:val="Heading1"/>
        <w:keepNext/>
      </w:pPr>
      <w:r>
        <w:t>Reglas</w:t>
      </w:r>
    </w:p>
    <w:p>
      <w:pPr>
        <w:pStyle w:val="ListNumber"/>
        <w:spacing w:after="60"/>
      </w:pPr>
      <w:r>
        <w:rPr>
          <w:rFonts w:ascii="Consolas" w:hAnsi="Consolas"/>
          <w:sz w:val="18"/>
        </w:rPr>
        <w:t>&lt;AREA&gt;</w:t>
      </w:r>
      <w:r>
        <w:t xml:space="preserve"> son exactamente </w:t>
      </w:r>
      <w:r>
        <w:rPr>
          <w:b/>
        </w:rPr>
        <w:t>tres letras mayúsculas</w:t>
      </w:r>
      <w:r>
        <w:t xml:space="preserve">: </w:t>
      </w:r>
      <w:r>
        <w:rPr>
          <w:rFonts w:ascii="Consolas" w:hAnsi="Consolas"/>
          <w:sz w:val="18"/>
        </w:rPr>
        <w:t>ADM</w:t>
      </w:r>
      <w:r>
        <w:t xml:space="preserve"> (Administración), </w:t>
      </w:r>
      <w:r>
        <w:rPr>
          <w:rFonts w:ascii="Consolas" w:hAnsi="Consolas"/>
          <w:sz w:val="18"/>
        </w:rPr>
        <w:t>COM</w:t>
      </w:r>
      <w:r>
        <w:t xml:space="preserve"> (Comercial),</w:t>
      </w:r>
    </w:p>
    <w:p>
      <w:r>
        <w:rPr>
          <w:rFonts w:ascii="Consolas" w:hAnsi="Consolas"/>
          <w:sz w:val="18"/>
        </w:rPr>
        <w:t>OPE</w:t>
      </w:r>
      <w:r>
        <w:t xml:space="preserve"> (Operaciones), </w:t>
      </w:r>
      <w:r>
        <w:rPr>
          <w:rFonts w:ascii="Consolas" w:hAnsi="Consolas"/>
          <w:sz w:val="18"/>
        </w:rPr>
        <w:t>FIN</w:t>
      </w:r>
      <w:r>
        <w:t xml:space="preserve"> (Finanzas).</w:t>
      </w:r>
    </w:p>
    <w:p>
      <w:pPr>
        <w:pStyle w:val="ListNumber"/>
        <w:spacing w:after="60"/>
      </w:pPr>
      <w:r>
        <w:rPr>
          <w:rFonts w:ascii="Consolas" w:hAnsi="Consolas"/>
          <w:sz w:val="18"/>
        </w:rPr>
        <w:t>&lt;###&gt;</w:t>
      </w:r>
      <w:r>
        <w:t xml:space="preserve"> es el correlativo de </w:t>
      </w:r>
      <w:r>
        <w:rPr>
          <w:b/>
        </w:rPr>
        <w:t>tres dígitos</w:t>
      </w:r>
      <w:r>
        <w:t xml:space="preserve">, con ceros a la izquierda. </w:t>
      </w:r>
      <w:r>
        <w:rPr>
          <w:rFonts w:ascii="Consolas" w:hAnsi="Consolas"/>
          <w:sz w:val="18"/>
        </w:rPr>
        <w:t>014</w:t>
      </w:r>
      <w:r>
        <w:t xml:space="preserve">, nunca </w:t>
      </w:r>
      <w:r>
        <w:rPr>
          <w:rFonts w:ascii="Consolas" w:hAnsi="Consolas"/>
          <w:sz w:val="18"/>
        </w:rPr>
        <w:t>14</w:t>
      </w:r>
      <w:r>
        <w:t>.</w:t>
      </w:r>
    </w:p>
    <w:p>
      <w:pPr>
        <w:pStyle w:val="ListNumber"/>
        <w:spacing w:after="60"/>
      </w:pPr>
      <w:r>
        <w:t xml:space="preserve">El separador entre el código y el título es un </w:t>
      </w:r>
      <w:r>
        <w:rPr>
          <w:b/>
        </w:rPr>
        <w:t>guion bajo</w:t>
      </w:r>
      <w:r>
        <w:t>. Dentro del código, guion medio.</w:t>
      </w:r>
    </w:p>
    <w:p>
      <w:pPr>
        <w:pStyle w:val="ListNumber"/>
        <w:spacing w:after="60"/>
      </w:pPr>
      <w:r>
        <w:t xml:space="preserve">El título </w:t>
      </w:r>
      <w:r>
        <w:rPr>
          <w:b/>
        </w:rPr>
        <w:t>no lleva espacios, ni tildes, ni caracteres especiales</w:t>
      </w:r>
      <w:r>
        <w:t>: se usan guiones bajos.</w:t>
      </w:r>
    </w:p>
    <w:p>
      <w:pPr>
        <w:pStyle w:val="ListNumber"/>
        <w:spacing w:after="60"/>
      </w:pPr>
      <w:r>
        <w:t xml:space="preserve">La versión va al final, siempre </w:t>
      </w:r>
      <w:r>
        <w:rPr>
          <w:b/>
        </w:rPr>
        <w:t>`v` minúscula</w:t>
      </w:r>
      <w:r>
        <w:t xml:space="preserve"> seguida del número: </w:t>
      </w:r>
      <w:r>
        <w:rPr>
          <w:rFonts w:ascii="Consolas" w:hAnsi="Consolas"/>
          <w:sz w:val="18"/>
        </w:rPr>
        <w:t>v1</w:t>
      </w:r>
      <w:r>
        <w:t xml:space="preserve">, </w:t>
      </w:r>
      <w:r>
        <w:rPr>
          <w:rFonts w:ascii="Consolas" w:hAnsi="Consolas"/>
          <w:sz w:val="18"/>
        </w:rPr>
        <w:t>v2</w:t>
      </w:r>
      <w:r>
        <w:t xml:space="preserve">, </w:t>
      </w:r>
      <w:r>
        <w:rPr>
          <w:rFonts w:ascii="Consolas" w:hAnsi="Consolas"/>
          <w:sz w:val="18"/>
        </w:rPr>
        <w:t>v10</w:t>
      </w:r>
      <w:r>
        <w:t>.</w:t>
      </w:r>
    </w:p>
    <w:p>
      <w:pPr>
        <w:pStyle w:val="ListNumber"/>
        <w:spacing w:after="60"/>
      </w:pPr>
      <w:r>
        <w:rPr>
          <w:rFonts w:ascii="Consolas" w:hAnsi="Consolas"/>
          <w:sz w:val="18"/>
        </w:rPr>
        <w:t>&lt;LETRA&gt;</w:t>
      </w:r>
      <w:r>
        <w:t xml:space="preserve"> del anexo es una sola letra mayúscula, correlativa desde </w:t>
      </w:r>
      <w:r>
        <w:rPr>
          <w:rFonts w:ascii="Consolas" w:hAnsi="Consolas"/>
          <w:sz w:val="18"/>
        </w:rPr>
        <w:t>A</w:t>
      </w:r>
      <w:r>
        <w:t xml:space="preserve"> sin saltos.</w:t>
      </w:r>
    </w:p>
    <w:p>
      <w:pPr>
        <w:pStyle w:val="ListNumber"/>
        <w:spacing w:after="60"/>
      </w:pPr>
      <w:r>
        <w:t>El anexo hereda el código completo del procedimiento al que pertenece.</w:t>
      </w:r>
    </w:p>
    <w:p>
      <w:pPr>
        <w:pStyle w:val="Heading1"/>
        <w:keepNext/>
      </w:pPr>
      <w:r>
        <w:t>Ejemplos válidos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PR-ADM-014_Gestion_de_Cotizaciones_v2.docx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PR-ADM-014-ANEXO-A_formato_de_cotizacion_v2.docx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PR-COM-007_Atencion_de_Reclamos_v4.docx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PR-OPE-102-ANEXO-B_ruta_de_despacho_v1.docx</w:t>
      </w:r>
    </w:p>
    <w:p>
      <w:pPr>
        <w:pStyle w:val="Heading1"/>
        <w:keepNext/>
      </w:pPr>
      <w:r>
        <w:t>Reglas de integridad del expediente</w:t>
      </w:r>
    </w:p>
    <w:p>
      <w:pPr>
        <w:pStyle w:val="ListNumber"/>
        <w:spacing w:after="60"/>
      </w:pPr>
      <w:r>
        <w:rPr>
          <w:b/>
        </w:rPr>
        <w:t>Todo anexo referenciado debe existir</w:t>
      </w:r>
      <w:r>
        <w:t xml:space="preserve"> en el expediente.</w:t>
      </w:r>
    </w:p>
    <w:p>
      <w:pPr>
        <w:pStyle w:val="ListNumber"/>
        <w:spacing w:after="60"/>
      </w:pPr>
      <w:r>
        <w:rPr>
          <w:b/>
        </w:rPr>
        <w:t>Todo anexo que existe debe estar referenciado</w:t>
      </w:r>
      <w:r>
        <w:t xml:space="preserve"> al menos una vez desde su procedimiento.</w:t>
      </w:r>
    </w:p>
    <w:p>
      <w:r>
        <w:t>Un anexo huérfano se elimina o se justifica.</w:t>
      </w:r>
    </w:p>
    <w:p>
      <w:pPr>
        <w:pStyle w:val="ListNumber"/>
        <w:spacing w:after="60"/>
      </w:pPr>
      <w:r>
        <w:t xml:space="preserve">El </w:t>
      </w:r>
      <w:r>
        <w:rPr>
          <w:b/>
        </w:rPr>
        <w:t>código declarado dentro</w:t>
      </w:r>
      <w:r>
        <w:t xml:space="preserve"> del documento debe coincidir con el del nombre del archivo.</w:t>
      </w:r>
    </w:p>
    <w:p>
      <w:pPr>
        <w:pStyle w:val="ListNumber"/>
        <w:spacing w:after="60"/>
      </w:pPr>
      <w:r>
        <w:t xml:space="preserve">Las referencias cruzadas indican la </w:t>
      </w:r>
      <w:r>
        <w:rPr>
          <w:b/>
        </w:rPr>
        <w:t>versión vigente</w:t>
      </w:r>
      <w:r>
        <w:t>, no una anterior.</w:t>
      </w:r>
    </w:p>
    <w:p>
      <w:pPr>
        <w:pStyle w:val="ListNumber"/>
        <w:spacing w:after="60"/>
      </w:pPr>
      <w:r>
        <w:t xml:space="preserve">Un mismo anexo se nombra </w:t>
      </w:r>
      <w:r>
        <w:rPr>
          <w:b/>
        </w:rPr>
        <w:t>igual en todas las menciones</w:t>
      </w:r>
      <w:r>
        <w:t xml:space="preserve"> del procedimiento.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