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Pr>
      <w:r>
        <w:t>Reporte mensual de Administración mayo 2026</w:t>
      </w:r>
    </w:p>
    <w:p>
      <w:pPr>
        <w:spacing w:after="160"/>
        <w:ind w:left="317"/>
      </w:pPr>
      <w:r>
        <w:rPr>
          <w:b/>
          <w:i/>
          <w:color w:val="475569"/>
        </w:rPr>
        <w:t>Material de práctica del taller.</w:t>
      </w:r>
      <w:r>
        <w:rPr>
          <w:i/>
          <w:color w:val="475569"/>
        </w:rPr>
        <w:t xml:space="preserve"> Reporte ficticio, con la estructura repetitiva típica de un informe mensual. Se usa en los laboratorios de cierre mensual de la Sesión 2: extraer su estructura como plantilla y rellenarla con los datos de </w:t>
      </w:r>
      <w:r>
        <w:rPr>
          <w:rFonts w:ascii="Consolas" w:hAnsi="Consolas"/>
          <w:i/>
          <w:color w:val="475569"/>
          <w:sz w:val="18"/>
        </w:rPr>
        <w:t>04_ventas_sucursales_2026.xlsx</w:t>
      </w:r>
      <w:r>
        <w:rPr>
          <w:i/>
          <w:color w:val="475569"/>
        </w:rPr>
        <w:t>.</w:t>
      </w:r>
    </w:p>
    <w:p>
      <w:r>
        <w:rPr>
          <w:b/>
        </w:rPr>
        <w:t>Preparado por:</w:t>
      </w:r>
      <w:r>
        <w:t xml:space="preserve"> Jefatura de Administración · </w:t>
      </w:r>
      <w:r>
        <w:rPr>
          <w:b/>
        </w:rPr>
        <w:t>Período:</w:t>
      </w:r>
      <w:r>
        <w:t xml:space="preserve"> 1 al 31 de mayo de 2026 </w:t>
      </w:r>
      <w:r>
        <w:rPr>
          <w:b/>
        </w:rPr>
        <w:t>Destinatario:</w:t>
      </w:r>
      <w:r>
        <w:t xml:space="preserve"> Gerencia de Administración · </w:t>
      </w:r>
      <w:r>
        <w:rPr>
          <w:b/>
        </w:rPr>
        <w:t>Fecha de entrega:</w:t>
      </w:r>
      <w:r>
        <w:t xml:space="preserve"> 5 de junio de 2026</w:t>
      </w:r>
    </w:p>
    <w:p>
      <w:pPr>
        <w:pStyle w:val="Heading1"/>
        <w:keepNext/>
      </w:pPr>
      <w:r>
        <w:t>1 Resumen del mes</w:t>
      </w:r>
    </w:p>
    <w:p>
      <w:r>
        <w:t>Mayo cerró dentro de lo esperado en ingresos, con una composición muy concentrada en la línea de baterías de auto. Dos temas requieren atención de la gerencia: la caída sostenida del servicio a domicilio, que ya lleva tres meses, y la tasa de devoluciones de Guatemala, que se mantiene muy por encima de la del resto de los países.</w:t>
      </w:r>
    </w:p>
    <w:p>
      <w:pPr>
        <w:pStyle w:val="Heading1"/>
        <w:keepNext/>
      </w:pPr>
      <w:r>
        <w:t>2 Ingresos por línea de producto</w:t>
      </w:r>
    </w:p>
    <w:p>
      <w:r>
        <w:t>La línea de baterías de auto concentra cerca de la mitad del ingreso del mes. Las líneas de energía —solar y respaldo— aportan un volumen menor pero con ticket promedio considerablemente más alto.</w:t>
      </w:r>
    </w:p>
    <w:p>
      <w:pPr>
        <w:pStyle w:val="Heading1"/>
        <w:keepNext/>
      </w:pPr>
      <w:r>
        <w:t>3 Comportamiento por país</w:t>
      </w:r>
    </w:p>
    <w:p>
      <w:r>
        <w:t>Panamá se mantiene como la operación de mayor volumen. Costa Rica sostiene su nivel del mes anterior. El Salvador crece levemente. Guatemala mantiene volumen pero con la salvedad del punto 5.</w:t>
      </w:r>
    </w:p>
    <w:p>
      <w:pPr>
        <w:pStyle w:val="Heading1"/>
        <w:keepNext/>
      </w:pPr>
      <w:r>
        <w:t>4 Servicio a domicilio</w:t>
      </w:r>
    </w:p>
    <w:p>
      <w:r>
        <w:t>El servicio a domicilio acumula su tercer mes consecutivo de caída en unidades. No se ha identificado la causa. Se propone traer el análisis detallado al comité de operaciones.</w:t>
      </w:r>
    </w:p>
    <w:p>
      <w:pPr>
        <w:pStyle w:val="Heading1"/>
        <w:keepNext/>
      </w:pPr>
      <w:r>
        <w:t>5 Devoluciones</w:t>
      </w:r>
    </w:p>
    <w:p>
      <w:r>
        <w:t>Guatemala presenta una tasa de devoluciones sensiblemente superior a la de los demás países. Está pendiente confirmar si se trata de un problema real o de un criterio de registro distinto: en Guatemala se estarían registrando como devolución los cambios por garantía.</w:t>
      </w:r>
    </w:p>
    <w:p>
      <w:pPr>
        <w:pStyle w:val="Heading1"/>
        <w:keepNext/>
      </w:pPr>
      <w:r>
        <w:t>6 Temas pendientes del mes anterior</w:t>
      </w:r>
    </w:p>
    <w:tbl>
      <w:tblPr>
        <w:tblW w:type="auto" w:w="0"/>
        <w:jc w:val="center"/>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rPr>
          <w:tblHeader w:val="true"/>
        </w:trPr>
        <w:tc>
          <w:tcPr>
            <w:tcW w:type="dxa" w:w="3331"/>
            <w:vAlign w:val="center"/>
            <w:tcMar>
              <w:top w:w="90" w:type="dxa"/>
              <w:start w:w="110" w:type="dxa"/>
              <w:bottom w:w="90" w:type="dxa"/>
              <w:end w:w="110" w:type="dxa"/>
            </w:tcMar>
            <w:shd w:fill="1C5C92"/>
          </w:tcPr>
          <w:p>
            <w:pPr>
              <w:spacing w:after="0"/>
            </w:pPr>
            <w:r>
              <w:rPr>
                <w:rFonts w:ascii="Arial" w:hAnsi="Arial"/>
                <w:b/>
                <w:color w:val="FFFFFF"/>
                <w:sz w:val="18"/>
              </w:rPr>
              <w:t>Tema</w:t>
            </w:r>
          </w:p>
        </w:tc>
        <w:tc>
          <w:tcPr>
            <w:tcW w:type="dxa" w:w="3331"/>
            <w:vAlign w:val="center"/>
            <w:tcMar>
              <w:top w:w="90" w:type="dxa"/>
              <w:start w:w="110" w:type="dxa"/>
              <w:bottom w:w="90" w:type="dxa"/>
              <w:end w:w="110" w:type="dxa"/>
            </w:tcMar>
            <w:shd w:fill="1C5C92"/>
          </w:tcPr>
          <w:p>
            <w:pPr>
              <w:spacing w:after="0"/>
            </w:pPr>
            <w:r>
              <w:rPr>
                <w:rFonts w:ascii="Arial" w:hAnsi="Arial"/>
                <w:b/>
                <w:color w:val="FFFFFF"/>
                <w:sz w:val="18"/>
              </w:rPr>
              <w:t>Estado</w:t>
            </w:r>
          </w:p>
        </w:tc>
        <w:tc>
          <w:tcPr>
            <w:tcW w:type="dxa" w:w="3331"/>
            <w:vAlign w:val="center"/>
            <w:tcMar>
              <w:top w:w="90" w:type="dxa"/>
              <w:start w:w="110" w:type="dxa"/>
              <w:bottom w:w="90" w:type="dxa"/>
              <w:end w:w="110" w:type="dxa"/>
            </w:tcMar>
            <w:shd w:fill="1C5C92"/>
          </w:tcPr>
          <w:p>
            <w:pPr>
              <w:spacing w:after="0"/>
            </w:pPr>
            <w:r>
              <w:rPr>
                <w:rFonts w:ascii="Arial" w:hAnsi="Arial"/>
                <w:b/>
                <w:color w:val="FFFFFF"/>
                <w:sz w:val="18"/>
              </w:rPr>
              <w:t>Responsable</w:t>
            </w:r>
          </w:p>
        </w:tc>
      </w:tr>
      <w:tr>
        <w:tc>
          <w:tcPr>
            <w:tcW w:type="dxa" w:w="3331"/>
            <w:vAlign w:val="center"/>
            <w:tcMar>
              <w:top w:w="90" w:type="dxa"/>
              <w:start w:w="110" w:type="dxa"/>
              <w:bottom w:w="90" w:type="dxa"/>
              <w:end w:w="110" w:type="dxa"/>
            </w:tcMar>
          </w:tcPr>
          <w:p>
            <w:pPr>
              <w:spacing w:after="0"/>
            </w:pPr>
            <w:r>
              <w:rPr>
                <w:rFonts w:ascii="Arial" w:hAnsi="Arial"/>
                <w:sz w:val="18"/>
              </w:rPr>
              <w:t>Actualización de procedimientos del área</w:t>
            </w:r>
          </w:p>
        </w:tc>
        <w:tc>
          <w:tcPr>
            <w:tcW w:type="dxa" w:w="3331"/>
            <w:vAlign w:val="center"/>
            <w:tcMar>
              <w:top w:w="90" w:type="dxa"/>
              <w:start w:w="110" w:type="dxa"/>
              <w:bottom w:w="90" w:type="dxa"/>
              <w:end w:w="110" w:type="dxa"/>
            </w:tcMar>
          </w:tcPr>
          <w:p>
            <w:pPr>
              <w:spacing w:after="0"/>
            </w:pPr>
            <w:r>
              <w:rPr>
                <w:rFonts w:ascii="Arial" w:hAnsi="Arial"/>
                <w:sz w:val="18"/>
              </w:rPr>
              <w:t>En curso, 4 de 11 documentos</w:t>
            </w:r>
          </w:p>
        </w:tc>
        <w:tc>
          <w:tcPr>
            <w:tcW w:type="dxa" w:w="3331"/>
            <w:vAlign w:val="center"/>
            <w:tcMar>
              <w:top w:w="90" w:type="dxa"/>
              <w:start w:w="110" w:type="dxa"/>
              <w:bottom w:w="90" w:type="dxa"/>
              <w:end w:w="110" w:type="dxa"/>
            </w:tcMar>
          </w:tcPr>
          <w:p>
            <w:pPr>
              <w:spacing w:after="0"/>
            </w:pPr>
            <w:r>
              <w:rPr>
                <w:rFonts w:ascii="Arial" w:hAnsi="Arial"/>
                <w:sz w:val="18"/>
              </w:rPr>
              <w:t>Jefatura de Administración</w:t>
            </w:r>
          </w:p>
        </w:tc>
      </w:tr>
      <w:tr>
        <w:tc>
          <w:tcPr>
            <w:tcW w:type="dxa" w:w="3331"/>
            <w:vAlign w:val="center"/>
            <w:tcMar>
              <w:top w:w="90" w:type="dxa"/>
              <w:start w:w="110" w:type="dxa"/>
              <w:bottom w:w="90" w:type="dxa"/>
              <w:end w:w="110" w:type="dxa"/>
            </w:tcMar>
            <w:shd w:fill="EAF3F8"/>
          </w:tcPr>
          <w:p>
            <w:pPr>
              <w:spacing w:after="0"/>
            </w:pPr>
            <w:r>
              <w:rPr>
                <w:rFonts w:ascii="Arial" w:hAnsi="Arial"/>
                <w:sz w:val="18"/>
              </w:rPr>
              <w:t>Homologación del criterio de devoluciones</w:t>
            </w:r>
          </w:p>
        </w:tc>
        <w:tc>
          <w:tcPr>
            <w:tcW w:type="dxa" w:w="3331"/>
            <w:vAlign w:val="center"/>
            <w:tcMar>
              <w:top w:w="90" w:type="dxa"/>
              <w:start w:w="110" w:type="dxa"/>
              <w:bottom w:w="90" w:type="dxa"/>
              <w:end w:w="110" w:type="dxa"/>
            </w:tcMar>
            <w:shd w:fill="EAF3F8"/>
          </w:tcPr>
          <w:p>
            <w:pPr>
              <w:spacing w:after="0"/>
            </w:pPr>
            <w:r>
              <w:rPr>
                <w:rFonts w:ascii="Arial" w:hAnsi="Arial"/>
                <w:sz w:val="18"/>
              </w:rPr>
              <w:t>No iniciado</w:t>
            </w:r>
          </w:p>
        </w:tc>
        <w:tc>
          <w:tcPr>
            <w:tcW w:type="dxa" w:w="3331"/>
            <w:vAlign w:val="center"/>
            <w:tcMar>
              <w:top w:w="90" w:type="dxa"/>
              <w:start w:w="110" w:type="dxa"/>
              <w:bottom w:w="90" w:type="dxa"/>
              <w:end w:w="110" w:type="dxa"/>
            </w:tcMar>
            <w:shd w:fill="EAF3F8"/>
          </w:tcPr>
          <w:p>
            <w:pPr>
              <w:spacing w:after="0"/>
            </w:pPr>
            <w:r>
              <w:rPr>
                <w:rFonts w:ascii="Arial" w:hAnsi="Arial"/>
                <w:sz w:val="18"/>
              </w:rPr>
              <w:t>Sin asignar</w:t>
            </w:r>
          </w:p>
        </w:tc>
      </w:tr>
      <w:tr>
        <w:tc>
          <w:tcPr>
            <w:tcW w:type="dxa" w:w="3331"/>
            <w:vAlign w:val="center"/>
            <w:tcMar>
              <w:top w:w="90" w:type="dxa"/>
              <w:start w:w="110" w:type="dxa"/>
              <w:bottom w:w="90" w:type="dxa"/>
              <w:end w:w="110" w:type="dxa"/>
            </w:tcMar>
          </w:tcPr>
          <w:p>
            <w:pPr>
              <w:spacing w:after="0"/>
            </w:pPr>
            <w:r>
              <w:rPr>
                <w:rFonts w:ascii="Arial" w:hAnsi="Arial"/>
                <w:sz w:val="18"/>
              </w:rPr>
              <w:t>Cierre de caja de dos sucursales</w:t>
            </w:r>
          </w:p>
        </w:tc>
        <w:tc>
          <w:tcPr>
            <w:tcW w:type="dxa" w:w="3331"/>
            <w:vAlign w:val="center"/>
            <w:tcMar>
              <w:top w:w="90" w:type="dxa"/>
              <w:start w:w="110" w:type="dxa"/>
              <w:bottom w:w="90" w:type="dxa"/>
              <w:end w:w="110" w:type="dxa"/>
            </w:tcMar>
          </w:tcPr>
          <w:p>
            <w:pPr>
              <w:spacing w:after="0"/>
            </w:pPr>
            <w:r>
              <w:rPr>
                <w:rFonts w:ascii="Arial" w:hAnsi="Arial"/>
                <w:sz w:val="18"/>
              </w:rPr>
              <w:t>Pendiente</w:t>
            </w:r>
          </w:p>
        </w:tc>
        <w:tc>
          <w:tcPr>
            <w:tcW w:type="dxa" w:w="3331"/>
            <w:vAlign w:val="center"/>
            <w:tcMar>
              <w:top w:w="90" w:type="dxa"/>
              <w:start w:w="110" w:type="dxa"/>
              <w:bottom w:w="90" w:type="dxa"/>
              <w:end w:w="110" w:type="dxa"/>
            </w:tcMar>
          </w:tcPr>
          <w:p>
            <w:pPr>
              <w:spacing w:after="0"/>
            </w:pPr>
            <w:r>
              <w:rPr>
                <w:rFonts w:ascii="Arial" w:hAnsi="Arial"/>
                <w:sz w:val="18"/>
              </w:rPr>
              <w:t>Sucursales Quetzaltenango y Soyapango</w:t>
            </w:r>
          </w:p>
        </w:tc>
      </w:tr>
    </w:tbl>
    <w:p>
      <w:pPr>
        <w:spacing w:after="0"/>
      </w:pPr>
    </w:p>
    <w:p>
      <w:pPr>
        <w:pStyle w:val="Heading1"/>
        <w:keepNext/>
      </w:pPr>
      <w:r>
        <w:t>7 Solicitudes a la gerencia</w:t>
      </w:r>
    </w:p>
    <w:p>
      <w:pPr>
        <w:pStyle w:val="ListNumber"/>
        <w:spacing w:after="60"/>
      </w:pPr>
      <w:r>
        <w:t>Definir responsable para la homologación del criterio de registro de devoluciones.</w:t>
      </w:r>
    </w:p>
    <w:p>
      <w:pPr>
        <w:pStyle w:val="ListNumber"/>
        <w:spacing w:after="60"/>
      </w:pPr>
      <w:r>
        <w:t>Apoyo para cerrar la actualización de procedimientos dentro del plazo comprometido.</w:t>
      </w:r>
    </w:p>
    <w:p>
      <w:r>
        <w:rPr>
          <w:i/>
        </w:rPr>
        <w:t>Reporte elaborado con la información del sistema comercial al cierre del período. Las cifras de devoluciones están sujetas a la revisión de criterio mencionada en el punto 5.</w:t>
      </w:r>
    </w:p>
    <w:sectPr w:rsidR="00FC693F" w:rsidRPr="0006063C" w:rsidSect="00034616">
      <w:footerReference w:type="default" r:id="rId9"/>
      <w:pgSz w:w="12240" w:h="15840"/>
      <w:pgMar w:top="1037"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06F82"/>
        <w:sz w:val="16"/>
      </w:rPr>
      <w:t xml:space="preserve">Casa de las Baterías  Material de práctica  Página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Material ficticio de capacitación CasaBat</dc:subject>
  <dc:creator>Rizo.ma</dc:creator>
  <cp:keywords/>
  <dc:description>generated by python-docx</dc:description>
  <cp:lastModifiedBy/>
  <cp:revision>1</cp:revision>
  <dcterms:created xsi:type="dcterms:W3CDTF">2013-12-23T23:15:00Z</dcterms:created>
  <dcterms:modified xsi:type="dcterms:W3CDTF">2013-12-23T23:15:00Z</dcterms:modified>
  <cp:category/>
</cp:coreProperties>
</file>