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Plantilla especificación de tarea en cinco partes</w:t>
      </w:r>
    </w:p>
    <w:p>
      <w:pPr>
        <w:spacing w:after="160"/>
        <w:ind w:left="317"/>
      </w:pPr>
      <w:r>
        <w:rPr>
          <w:b/>
          <w:i/>
          <w:color w:val="475569"/>
        </w:rPr>
        <w:t>Caso de práctica.</w:t>
      </w:r>
      <w:r>
        <w:rPr>
          <w:i/>
          <w:color w:val="475569"/>
        </w:rPr>
        <w:t xml:space="preserve"> Adáptala únicamente dentro del entorno aprobado por Casa de las Baterías. No cargues datos personales, credenciales, contratos ni información de clientes sin autorización.</w:t>
      </w:r>
    </w:p>
    <w:p>
      <w:r>
        <w:t>Una buena especificación no intenta decirlo todo. Deja explícitas las decisiones que cambian el resultado y permite que otra persona evalúe si salió bien.</w:t>
      </w:r>
    </w:p>
    <w:p>
      <w:pPr>
        <w:pStyle w:val="Heading1"/>
        <w:keepNext/>
      </w:pPr>
      <w:r>
        <w:t>Plantilla copiable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TAREA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[Qué debe quedar listo y para qué decisión o acción se usará.]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CONTEXTO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[País, área, audiencia, situación y qué ya está decidido.]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FUENTES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[Archivos o datos permitidos, su versión y vigencia. Indica qué hacer si falta o se contradice algo.]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SALIDA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[Formato, extensión, idioma, estructura y tono observables.]</w:t>
      </w:r>
    </w:p>
    <w:p>
      <w:pPr>
        <w:spacing w:after="20"/>
        <w:ind w:left="346"/>
      </w:pPr>
      <w:r>
        <w:rPr>
          <w:rFonts w:ascii="Consolas" w:hAnsi="Consolas"/>
          <w:sz w:val="18"/>
        </w:rPr>
      </w:r>
    </w:p>
    <w:p>
      <w:pPr>
        <w:spacing w:after="20"/>
        <w:ind w:left="346"/>
      </w:pPr>
      <w:r>
        <w:rPr>
          <w:rFonts w:ascii="Consolas" w:hAnsi="Consolas"/>
          <w:sz w:val="18"/>
        </w:rPr>
        <w:t>ACEPTACIÓN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[Criterios binarios que debe cumplir; supuestos que debe marcar; quién aprueba antes de usar o enviar.]</w:t>
      </w:r>
    </w:p>
    <w:p>
      <w:pPr>
        <w:pStyle w:val="Heading1"/>
        <w:keepNext/>
      </w:pPr>
      <w:r>
        <w:t>Reglas de uso</w:t>
      </w:r>
    </w:p>
    <w:p>
      <w:pPr>
        <w:pStyle w:val="ListNumber"/>
        <w:spacing w:after="60"/>
      </w:pPr>
      <w:r>
        <w:t>Si falta un dato que cambia la respuesta, pregunta antes de completar.</w:t>
      </w:r>
    </w:p>
    <w:p>
      <w:pPr>
        <w:pStyle w:val="ListNumber"/>
        <w:spacing w:after="60"/>
      </w:pPr>
      <w:r>
        <w:t>Separa hechos, supuestos, propuestas y decisiones pendientes.</w:t>
      </w:r>
    </w:p>
    <w:p>
      <w:pPr>
        <w:pStyle w:val="ListNumber"/>
        <w:spacing w:after="60"/>
      </w:pPr>
      <w:r>
        <w:t>Pide fuentes, fórmula o código, comprobaciones y límites; no el razonamiento interno del modelo.</w:t>
      </w:r>
    </w:p>
    <w:p>
      <w:pPr>
        <w:pStyle w:val="ListNumber"/>
        <w:spacing w:after="60"/>
      </w:pPr>
      <w:r>
        <w:t>Conserva la especificación junto a la salida y su versión.</w:t>
      </w:r>
    </w:p>
    <w:p>
      <w:pPr>
        <w:pStyle w:val="ListNumber"/>
        <w:spacing w:after="60"/>
      </w:pPr>
      <w:r>
        <w:t>Si la tarea actúa sobre otro sistema, define permiso, aprobación y registro antes de ejecutarla.</w:t>
      </w:r>
    </w:p>
    <w:p>
      <w:pPr>
        <w:pStyle w:val="Heading1"/>
        <w:keepNext/>
      </w:pPr>
      <w:r>
        <w:t>Registro mínimo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Nombre del flujo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Versión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v0.1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Dueño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Entorno aprobado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Fuentes permitidas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Datos excluidos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Persona que aprueba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Fecha de revisión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